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cs="宋体"/>
          <w:b/>
          <w:bCs/>
          <w:color w:val="FF0000"/>
          <w:kern w:val="0"/>
          <w:sz w:val="24"/>
          <w:szCs w:val="24"/>
          <w:lang w:eastAsia="zh-CN"/>
        </w:rPr>
      </w:pPr>
      <w:r>
        <w:rPr>
          <w:rFonts w:hint="eastAsia" w:ascii="宋体" w:hAnsi="宋体" w:cs="宋体"/>
          <w:b/>
          <w:bCs/>
          <w:color w:val="FF0000"/>
          <w:kern w:val="0"/>
          <w:sz w:val="52"/>
          <w:szCs w:val="52"/>
          <w:lang w:eastAsia="zh-CN"/>
        </w:rPr>
        <w:t>全国优秀艺术生素养测评简章</w:t>
      </w:r>
    </w:p>
    <w:p>
      <w:pPr>
        <w:widowControl/>
        <w:shd w:val="clear" w:color="auto" w:fill="FFFFFF"/>
        <w:jc w:val="center"/>
        <w:rPr>
          <w:rFonts w:hint="default" w:ascii="宋体" w:hAnsi="宋体" w:eastAsia="宋体" w:cs="宋体"/>
          <w:b/>
          <w:bCs/>
          <w:color w:val="0000FF"/>
          <w:kern w:val="0"/>
          <w:sz w:val="24"/>
          <w:szCs w:val="24"/>
          <w:lang w:val="en-US" w:eastAsia="zh-CN"/>
        </w:rPr>
      </w:pPr>
      <w:r>
        <w:rPr>
          <w:rFonts w:hint="eastAsia" w:ascii="宋体" w:hAnsi="宋体" w:cs="宋体"/>
          <w:b/>
          <w:bCs/>
          <w:color w:val="0000FF"/>
          <w:kern w:val="0"/>
          <w:sz w:val="24"/>
          <w:szCs w:val="24"/>
          <w:lang w:eastAsia="zh-CN"/>
        </w:rPr>
        <w:t>北京有授权</w:t>
      </w:r>
      <w:r>
        <w:rPr>
          <w:rFonts w:hint="eastAsia" w:ascii="宋体" w:hAnsi="宋体" w:cs="宋体"/>
          <w:b/>
          <w:bCs/>
          <w:color w:val="0000FF"/>
          <w:kern w:val="0"/>
          <w:sz w:val="24"/>
          <w:szCs w:val="24"/>
          <w:lang w:val="en-US" w:eastAsia="zh-CN"/>
        </w:rPr>
        <w:t xml:space="preserve">  考点有网备  证书有公示</w:t>
      </w:r>
    </w:p>
    <w:p>
      <w:pPr>
        <w:widowControl/>
        <w:shd w:val="clear" w:color="auto" w:fill="FFFFFF"/>
        <w:jc w:val="center"/>
        <w:rPr>
          <w:rFonts w:hint="eastAsia" w:ascii="宋体" w:hAnsi="宋体" w:cs="宋体"/>
          <w:b/>
          <w:bCs/>
          <w:color w:val="FF0000"/>
          <w:kern w:val="0"/>
          <w:sz w:val="28"/>
          <w:szCs w:val="28"/>
        </w:rPr>
      </w:pPr>
      <w:r>
        <w:rPr>
          <w:rFonts w:hint="eastAsia" w:ascii="宋体" w:hAnsi="宋体" w:cs="宋体"/>
          <w:b/>
          <w:bCs/>
          <w:color w:val="FF0000"/>
          <w:kern w:val="0"/>
          <w:sz w:val="28"/>
          <w:szCs w:val="28"/>
        </w:rPr>
        <w:t>全国优秀</w:t>
      </w:r>
      <w:r>
        <w:rPr>
          <w:rFonts w:hint="eastAsia" w:ascii="宋体" w:hAnsi="宋体" w:cs="宋体"/>
          <w:b/>
          <w:bCs/>
          <w:color w:val="FF0000"/>
          <w:kern w:val="0"/>
          <w:sz w:val="28"/>
          <w:szCs w:val="28"/>
          <w:lang w:eastAsia="zh-CN"/>
        </w:rPr>
        <w:t>艺术生素养</w:t>
      </w:r>
      <w:r>
        <w:rPr>
          <w:rFonts w:hint="eastAsia" w:ascii="宋体" w:hAnsi="宋体" w:cs="宋体"/>
          <w:b/>
          <w:bCs/>
          <w:color w:val="FF0000"/>
          <w:kern w:val="0"/>
          <w:sz w:val="28"/>
          <w:szCs w:val="28"/>
        </w:rPr>
        <w:t>测评简章</w:t>
      </w:r>
    </w:p>
    <w:p>
      <w:pPr>
        <w:widowControl/>
        <w:shd w:val="clear" w:color="auto" w:fill="FFFFFF"/>
        <w:jc w:val="center"/>
        <w:rPr>
          <w:rStyle w:val="4"/>
          <w:rFonts w:hint="eastAsia" w:ascii="宋体" w:hAnsi="宋体" w:eastAsia="宋体" w:cs="宋体"/>
          <w:i w:val="0"/>
          <w:caps w:val="0"/>
          <w:color w:val="0000FF"/>
          <w:spacing w:val="0"/>
          <w:sz w:val="21"/>
          <w:szCs w:val="21"/>
          <w:shd w:val="clear" w:color="auto" w:fill="FFFFFF"/>
        </w:rPr>
      </w:pPr>
      <w:r>
        <w:rPr>
          <w:rStyle w:val="4"/>
          <w:rFonts w:hint="eastAsia" w:ascii="宋体" w:hAnsi="宋体" w:eastAsia="宋体" w:cs="宋体"/>
          <w:i w:val="0"/>
          <w:caps w:val="0"/>
          <w:color w:val="0000FF"/>
          <w:spacing w:val="0"/>
          <w:sz w:val="21"/>
          <w:szCs w:val="21"/>
          <w:shd w:val="clear" w:color="auto" w:fill="FFFFFF"/>
        </w:rPr>
        <w:t>增加学习动力</w:t>
      </w:r>
      <w:r>
        <w:rPr>
          <w:rStyle w:val="4"/>
          <w:rFonts w:hint="eastAsia" w:ascii="宋体" w:hAnsi="宋体" w:eastAsia="宋体" w:cs="宋体"/>
          <w:i w:val="0"/>
          <w:caps w:val="0"/>
          <w:color w:val="0000FF"/>
          <w:spacing w:val="0"/>
          <w:sz w:val="21"/>
          <w:szCs w:val="21"/>
          <w:shd w:val="clear" w:color="auto" w:fill="FFFFFF"/>
          <w:lang w:val="en-US" w:eastAsia="zh-CN"/>
        </w:rPr>
        <w:t xml:space="preserve">  </w:t>
      </w:r>
      <w:r>
        <w:rPr>
          <w:rStyle w:val="4"/>
          <w:rFonts w:hint="eastAsia" w:ascii="宋体" w:hAnsi="宋体" w:eastAsia="宋体" w:cs="宋体"/>
          <w:i w:val="0"/>
          <w:caps w:val="0"/>
          <w:color w:val="0000FF"/>
          <w:spacing w:val="0"/>
          <w:sz w:val="21"/>
          <w:szCs w:val="21"/>
          <w:shd w:val="clear" w:color="auto" w:fill="FFFFFF"/>
        </w:rPr>
        <w:t>锤炼心理素质</w:t>
      </w:r>
    </w:p>
    <w:p>
      <w:pPr>
        <w:widowControl/>
        <w:shd w:val="clear" w:color="auto" w:fill="FFFFFF"/>
        <w:jc w:val="center"/>
        <w:rPr>
          <w:rStyle w:val="4"/>
          <w:rFonts w:hint="default" w:ascii="宋体" w:hAnsi="宋体" w:eastAsia="宋体" w:cs="宋体"/>
          <w:i w:val="0"/>
          <w:caps w:val="0"/>
          <w:color w:val="0000FF"/>
          <w:spacing w:val="0"/>
          <w:sz w:val="21"/>
          <w:szCs w:val="21"/>
          <w:shd w:val="clear" w:color="auto" w:fill="FFFFFF"/>
          <w:lang w:val="en-US" w:eastAsia="zh-CN"/>
        </w:rPr>
      </w:pPr>
      <w:r>
        <w:rPr>
          <w:rStyle w:val="4"/>
          <w:rFonts w:hint="eastAsia" w:ascii="宋体" w:hAnsi="宋体" w:eastAsia="宋体" w:cs="宋体"/>
          <w:i w:val="0"/>
          <w:caps w:val="0"/>
          <w:color w:val="0000FF"/>
          <w:spacing w:val="0"/>
          <w:sz w:val="21"/>
          <w:szCs w:val="21"/>
          <w:shd w:val="clear" w:color="auto" w:fill="FFFFFF"/>
        </w:rPr>
        <w:t>提高</w:t>
      </w:r>
      <w:r>
        <w:rPr>
          <w:rStyle w:val="4"/>
          <w:rFonts w:hint="eastAsia" w:ascii="宋体" w:hAnsi="宋体" w:eastAsia="宋体" w:cs="宋体"/>
          <w:i w:val="0"/>
          <w:caps w:val="0"/>
          <w:color w:val="0000FF"/>
          <w:spacing w:val="0"/>
          <w:sz w:val="21"/>
          <w:szCs w:val="21"/>
          <w:shd w:val="clear" w:color="auto" w:fill="FFFFFF"/>
          <w:lang w:eastAsia="zh-CN"/>
        </w:rPr>
        <w:t>学生</w:t>
      </w:r>
      <w:r>
        <w:rPr>
          <w:rStyle w:val="4"/>
          <w:rFonts w:hint="eastAsia" w:ascii="宋体" w:hAnsi="宋体" w:eastAsia="宋体" w:cs="宋体"/>
          <w:i w:val="0"/>
          <w:caps w:val="0"/>
          <w:color w:val="0000FF"/>
          <w:spacing w:val="0"/>
          <w:sz w:val="21"/>
          <w:szCs w:val="21"/>
          <w:shd w:val="clear" w:color="auto" w:fill="FFFFFF"/>
        </w:rPr>
        <w:t>自信</w:t>
      </w:r>
      <w:r>
        <w:rPr>
          <w:rStyle w:val="4"/>
          <w:rFonts w:hint="eastAsia" w:ascii="宋体" w:hAnsi="宋体" w:eastAsia="宋体" w:cs="宋体"/>
          <w:i w:val="0"/>
          <w:caps w:val="0"/>
          <w:color w:val="0000FF"/>
          <w:spacing w:val="0"/>
          <w:sz w:val="21"/>
          <w:szCs w:val="21"/>
          <w:shd w:val="clear" w:color="auto" w:fill="FFFFFF"/>
          <w:lang w:val="en-US" w:eastAsia="zh-CN"/>
        </w:rPr>
        <w:t xml:space="preserve">  </w:t>
      </w:r>
      <w:r>
        <w:rPr>
          <w:rStyle w:val="4"/>
          <w:rFonts w:hint="eastAsia" w:ascii="宋体" w:hAnsi="宋体" w:eastAsia="宋体" w:cs="宋体"/>
          <w:i w:val="0"/>
          <w:caps w:val="0"/>
          <w:color w:val="0000FF"/>
          <w:spacing w:val="0"/>
          <w:sz w:val="21"/>
          <w:szCs w:val="21"/>
          <w:shd w:val="clear" w:color="auto" w:fill="FFFFFF"/>
        </w:rPr>
        <w:t>积累升学资本</w:t>
      </w:r>
    </w:p>
    <w:p>
      <w:pPr>
        <w:widowControl/>
        <w:shd w:val="clear" w:color="auto" w:fill="FFFFFF"/>
        <w:jc w:val="center"/>
        <w:rPr>
          <w:rFonts w:ascii="宋体" w:hAnsi="宋体" w:cs="宋体"/>
          <w:color w:val="6D6D6D"/>
          <w:kern w:val="0"/>
          <w:sz w:val="28"/>
          <w:szCs w:val="28"/>
        </w:rPr>
      </w:pPr>
      <w:r>
        <w:rPr>
          <w:rFonts w:hint="eastAsia" w:ascii="宋体" w:hAnsi="宋体" w:cs="宋体"/>
          <w:b/>
          <w:bCs/>
          <w:color w:val="FF0000"/>
          <w:kern w:val="0"/>
          <w:sz w:val="28"/>
          <w:szCs w:val="28"/>
        </w:rPr>
        <w:t>微信</w:t>
      </w:r>
      <w:r>
        <w:rPr>
          <w:rFonts w:hint="eastAsia" w:ascii="宋体" w:hAnsi="宋体" w:cs="宋体"/>
          <w:b/>
          <w:bCs/>
          <w:color w:val="FF0000"/>
          <w:kern w:val="0"/>
          <w:sz w:val="28"/>
          <w:szCs w:val="28"/>
          <w:lang w:eastAsia="zh-CN"/>
        </w:rPr>
        <w:t>公众号</w:t>
      </w:r>
      <w:r>
        <w:rPr>
          <w:rFonts w:hint="eastAsia" w:ascii="宋体" w:hAnsi="宋体" w:cs="宋体"/>
          <w:b/>
          <w:bCs/>
          <w:color w:val="FF0000"/>
          <w:kern w:val="0"/>
          <w:sz w:val="28"/>
          <w:szCs w:val="28"/>
          <w:lang w:val="en-US" w:eastAsia="zh-CN"/>
        </w:rPr>
        <w:t xml:space="preserve">  微信</w:t>
      </w:r>
      <w:r>
        <w:rPr>
          <w:rFonts w:hint="eastAsia" w:ascii="宋体" w:hAnsi="宋体" w:cs="宋体"/>
          <w:b/>
          <w:bCs/>
          <w:color w:val="FF0000"/>
          <w:kern w:val="0"/>
          <w:sz w:val="28"/>
          <w:szCs w:val="28"/>
          <w:lang w:eastAsia="zh-CN"/>
        </w:rPr>
        <w:t>小程序均可</w:t>
      </w:r>
      <w:r>
        <w:rPr>
          <w:rFonts w:hint="eastAsia" w:ascii="宋体" w:hAnsi="宋体" w:cs="宋体"/>
          <w:b/>
          <w:bCs/>
          <w:color w:val="FF0000"/>
          <w:kern w:val="0"/>
          <w:sz w:val="28"/>
          <w:szCs w:val="28"/>
        </w:rPr>
        <w:t>查验打印收藏发送测评证书</w:t>
      </w:r>
      <w:r>
        <w:rPr>
          <w:rFonts w:hint="eastAsia" w:ascii="宋体" w:hAnsi="宋体" w:cs="宋体"/>
          <w:color w:val="FF0000"/>
          <w:kern w:val="0"/>
          <w:sz w:val="28"/>
          <w:szCs w:val="28"/>
        </w:rPr>
        <w:t> </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FF0000"/>
          <w:kern w:val="0"/>
          <w:sz w:val="24"/>
          <w:szCs w:val="24"/>
        </w:rPr>
      </w:pPr>
      <w:r>
        <w:rPr>
          <w:rFonts w:hint="eastAsia" w:ascii="宋体" w:hAnsi="宋体" w:cs="宋体"/>
          <w:b/>
          <w:bCs/>
          <w:color w:val="6D6D6D"/>
          <w:kern w:val="0"/>
          <w:sz w:val="24"/>
          <w:szCs w:val="24"/>
        </w:rPr>
        <w:t>为贯彻</w:t>
      </w:r>
      <w:r>
        <w:rPr>
          <w:rFonts w:hint="eastAsia" w:ascii="宋体" w:hAnsi="宋体" w:cs="宋体"/>
          <w:b/>
          <w:bCs/>
          <w:color w:val="6D6D6D"/>
          <w:kern w:val="0"/>
          <w:sz w:val="24"/>
          <w:szCs w:val="24"/>
          <w:lang w:eastAsia="zh-CN"/>
        </w:rPr>
        <w:t>中共中央、国务院《关于深化教育改革，全面推进素质教育的决定》和国家</w:t>
      </w:r>
      <w:r>
        <w:rPr>
          <w:rFonts w:hint="eastAsia" w:ascii="宋体" w:hAnsi="宋体" w:cs="宋体"/>
          <w:b/>
          <w:bCs/>
          <w:color w:val="6D6D6D"/>
          <w:kern w:val="0"/>
          <w:sz w:val="24"/>
          <w:szCs w:val="24"/>
        </w:rPr>
        <w:t>教育部《关于推进学校艺术教育发展的若干意见》精神，推动我国青少年艺术教育事业发展，全国优秀</w:t>
      </w:r>
      <w:r>
        <w:rPr>
          <w:rFonts w:hint="eastAsia" w:ascii="宋体" w:hAnsi="宋体" w:cs="宋体"/>
          <w:b/>
          <w:bCs/>
          <w:color w:val="6D6D6D"/>
          <w:kern w:val="0"/>
          <w:sz w:val="24"/>
          <w:szCs w:val="24"/>
          <w:lang w:eastAsia="zh-CN"/>
        </w:rPr>
        <w:t>艺术</w:t>
      </w:r>
      <w:r>
        <w:rPr>
          <w:rFonts w:hint="eastAsia" w:ascii="宋体" w:hAnsi="宋体" w:cs="宋体"/>
          <w:b/>
          <w:bCs/>
          <w:color w:val="6D6D6D"/>
          <w:kern w:val="0"/>
          <w:sz w:val="24"/>
          <w:szCs w:val="24"/>
        </w:rPr>
        <w:t>生</w:t>
      </w:r>
      <w:r>
        <w:rPr>
          <w:rFonts w:hint="eastAsia" w:ascii="宋体" w:hAnsi="宋体" w:cs="宋体"/>
          <w:b/>
          <w:bCs/>
          <w:color w:val="6D6D6D"/>
          <w:kern w:val="0"/>
          <w:sz w:val="24"/>
          <w:szCs w:val="24"/>
          <w:lang w:eastAsia="zh-CN"/>
        </w:rPr>
        <w:t>素养</w:t>
      </w:r>
      <w:r>
        <w:rPr>
          <w:rFonts w:hint="eastAsia" w:ascii="宋体" w:hAnsi="宋体" w:cs="宋体"/>
          <w:b/>
          <w:bCs/>
          <w:color w:val="6D6D6D"/>
          <w:kern w:val="0"/>
          <w:sz w:val="24"/>
          <w:szCs w:val="24"/>
        </w:rPr>
        <w:t>测评在全国展开。全国优秀</w:t>
      </w:r>
      <w:r>
        <w:rPr>
          <w:rFonts w:hint="eastAsia" w:ascii="宋体" w:hAnsi="宋体" w:cs="宋体"/>
          <w:b/>
          <w:bCs/>
          <w:color w:val="6D6D6D"/>
          <w:kern w:val="0"/>
          <w:sz w:val="24"/>
          <w:szCs w:val="24"/>
          <w:lang w:eastAsia="zh-CN"/>
        </w:rPr>
        <w:t>艺术</w:t>
      </w:r>
      <w:r>
        <w:rPr>
          <w:rFonts w:hint="eastAsia" w:ascii="宋体" w:hAnsi="宋体" w:cs="宋体"/>
          <w:b/>
          <w:bCs/>
          <w:color w:val="6D6D6D"/>
          <w:kern w:val="0"/>
          <w:sz w:val="24"/>
          <w:szCs w:val="24"/>
        </w:rPr>
        <w:t>生</w:t>
      </w:r>
      <w:r>
        <w:rPr>
          <w:rFonts w:hint="eastAsia" w:ascii="宋体" w:hAnsi="宋体" w:cs="宋体"/>
          <w:b/>
          <w:bCs/>
          <w:color w:val="6D6D6D"/>
          <w:kern w:val="0"/>
          <w:sz w:val="24"/>
          <w:szCs w:val="24"/>
          <w:lang w:eastAsia="zh-CN"/>
        </w:rPr>
        <w:t>素养</w:t>
      </w:r>
      <w:r>
        <w:rPr>
          <w:rFonts w:hint="eastAsia" w:ascii="宋体" w:hAnsi="宋体" w:cs="宋体"/>
          <w:b/>
          <w:bCs/>
          <w:color w:val="6D6D6D"/>
          <w:kern w:val="0"/>
          <w:sz w:val="24"/>
          <w:szCs w:val="24"/>
        </w:rPr>
        <w:t>测评委员会授权吉林省才艺林文化艺术培训交流中心承办吉林省区域内的测评工作</w:t>
      </w:r>
      <w:r>
        <w:rPr>
          <w:rFonts w:hint="eastAsia" w:ascii="宋体" w:hAnsi="宋体" w:cs="宋体"/>
          <w:b/>
          <w:bCs/>
          <w:color w:val="6D6D6D"/>
          <w:kern w:val="0"/>
          <w:sz w:val="24"/>
          <w:szCs w:val="24"/>
          <w:lang w:eastAsia="zh-CN"/>
        </w:rPr>
        <w:t>，授予《全国优秀艺术生素养测评吉林省测评中心》牌匾。</w:t>
      </w:r>
      <w:r>
        <w:rPr>
          <w:rFonts w:hint="eastAsia" w:ascii="宋体" w:hAnsi="宋体" w:cs="宋体"/>
          <w:color w:val="6D6D6D"/>
          <w:kern w:val="0"/>
          <w:sz w:val="24"/>
          <w:szCs w:val="24"/>
          <w:shd w:val="clear" w:color="auto" w:fill="FFFFFF"/>
        </w:rPr>
        <w:br w:type="textWrapping"/>
      </w:r>
      <w:r>
        <w:rPr>
          <w:rFonts w:hint="eastAsia" w:ascii="宋体" w:hAnsi="宋体" w:cs="宋体"/>
          <w:b/>
          <w:bCs/>
          <w:color w:val="FF0000"/>
          <w:kern w:val="0"/>
          <w:sz w:val="24"/>
          <w:szCs w:val="24"/>
        </w:rPr>
        <w:t>一、测评科目级别:</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（一）声乐类</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美声唱法、民族唱法、流行唱法、长调、少儿歌唱等。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（二）器乐类</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1.键盘乐器类：钢琴、电子琴（单、双排键）、手风琴等。</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2.西洋管弦乐器类：长笛、双簧管、单簧管、萨克斯管、大管（巴松管）、长号、小号、大号、圆号、次中音号、竖琴、大提琴、小提琴、中提琴、低音提琴、吉它、电吉它、电贝司、小鼓、定音鼓及打击乐器、木琴及马林巴琴等。</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3.民族管弦乐器类：竹笛、笙、唢呐、管子、巴乌、葫芦丝、琵琶、扬琴、 柳琴、月琴、古筝、古琴、中阮、大阮、三弦、二胡、板胡、高胡、民族打击乐器</w:t>
      </w:r>
      <w:r>
        <w:rPr>
          <w:rFonts w:hint="eastAsia" w:ascii="宋体" w:hAnsi="宋体" w:cs="宋体"/>
          <w:b/>
          <w:bCs/>
          <w:color w:val="6D6D6D"/>
          <w:kern w:val="0"/>
          <w:sz w:val="24"/>
          <w:szCs w:val="24"/>
          <w:lang w:eastAsia="zh-CN"/>
        </w:rPr>
        <w:t>、口琴、马头琴、陶笛</w:t>
      </w:r>
      <w:r>
        <w:rPr>
          <w:rFonts w:hint="eastAsia" w:ascii="宋体" w:hAnsi="宋体" w:cs="宋体"/>
          <w:b/>
          <w:bCs/>
          <w:color w:val="6D6D6D"/>
          <w:kern w:val="0"/>
          <w:sz w:val="24"/>
          <w:szCs w:val="24"/>
        </w:rPr>
        <w:t>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（三）音乐素养</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包括音乐基础理论、视唱练耳等。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（四）舞蹈类</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中国舞、拉丁舞、少儿舞蹈、芭蕾舞、国际标准舞、街舞、中国民族民间舞等。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（五）模特表演类</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T台模特、形体礼仪、平面模特等。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（六）语言类</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1.表演（普通话、朗诵、播音主持、曲艺、小品等）。</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2.英语朗诵、英语口语等。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lang w:val="en-US" w:eastAsia="zh-CN"/>
        </w:rPr>
        <w:t>(七)</w:t>
      </w:r>
      <w:r>
        <w:rPr>
          <w:rFonts w:hint="eastAsia" w:ascii="宋体" w:hAnsi="宋体" w:cs="宋体"/>
          <w:b/>
          <w:bCs/>
          <w:color w:val="6D6D6D"/>
          <w:kern w:val="0"/>
          <w:sz w:val="24"/>
          <w:szCs w:val="24"/>
        </w:rPr>
        <w:t xml:space="preserve">美术书法类 </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1.中国画：人物、山水、花鸟等。</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2.西画：素描、速写、水粉画、水彩画、油画等。</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3.</w:t>
      </w:r>
      <w:r>
        <w:rPr>
          <w:rFonts w:hint="eastAsia" w:ascii="宋体" w:hAnsi="宋体" w:cs="宋体"/>
          <w:b/>
          <w:bCs/>
          <w:color w:val="6D6D6D"/>
          <w:kern w:val="0"/>
          <w:sz w:val="24"/>
          <w:szCs w:val="24"/>
          <w:lang w:eastAsia="zh-CN"/>
        </w:rPr>
        <w:t>儿童画、</w:t>
      </w:r>
      <w:r>
        <w:rPr>
          <w:rFonts w:hint="eastAsia" w:ascii="宋体" w:hAnsi="宋体" w:cs="宋体"/>
          <w:b/>
          <w:bCs/>
          <w:color w:val="6D6D6D"/>
          <w:kern w:val="0"/>
          <w:sz w:val="24"/>
          <w:szCs w:val="24"/>
        </w:rPr>
        <w:t>漫</w:t>
      </w:r>
      <w:r>
        <w:rPr>
          <w:rFonts w:hint="eastAsia" w:ascii="宋体" w:hAnsi="宋体" w:cs="宋体"/>
          <w:b/>
          <w:bCs/>
          <w:color w:val="6D6D6D"/>
          <w:kern w:val="0"/>
          <w:sz w:val="24"/>
          <w:szCs w:val="24"/>
          <w:lang w:eastAsia="zh-CN"/>
        </w:rPr>
        <w:t>画、沙画、手工画等</w:t>
      </w:r>
      <w:r>
        <w:rPr>
          <w:rFonts w:hint="eastAsia" w:ascii="宋体" w:hAnsi="宋体" w:cs="宋体"/>
          <w:b/>
          <w:bCs/>
          <w:color w:val="6D6D6D"/>
          <w:kern w:val="0"/>
          <w:sz w:val="24"/>
          <w:szCs w:val="24"/>
        </w:rPr>
        <w:t>。</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4.书法：软笔书法、硬笔书法等。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w:t>
      </w:r>
      <w:r>
        <w:rPr>
          <w:rFonts w:hint="eastAsia" w:ascii="宋体" w:hAnsi="宋体" w:cs="宋体"/>
          <w:b/>
          <w:bCs/>
          <w:color w:val="6D6D6D"/>
          <w:kern w:val="0"/>
          <w:sz w:val="24"/>
          <w:szCs w:val="24"/>
          <w:lang w:eastAsia="zh-CN"/>
        </w:rPr>
        <w:t>八</w:t>
      </w:r>
      <w:r>
        <w:rPr>
          <w:rFonts w:hint="eastAsia" w:ascii="宋体" w:hAnsi="宋体" w:cs="宋体"/>
          <w:b/>
          <w:bCs/>
          <w:color w:val="6D6D6D"/>
          <w:kern w:val="0"/>
          <w:sz w:val="24"/>
          <w:szCs w:val="24"/>
        </w:rPr>
        <w:t>）武术类</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中华武术、跆拳道、散打、空手道、太极拳等。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b/>
          <w:bCs/>
          <w:color w:val="6D6D6D"/>
          <w:kern w:val="0"/>
          <w:sz w:val="24"/>
          <w:szCs w:val="24"/>
          <w:lang w:val="en-US" w:eastAsia="zh-CN"/>
        </w:rPr>
      </w:pPr>
      <w:r>
        <w:rPr>
          <w:rFonts w:hint="eastAsia" w:ascii="宋体" w:hAnsi="宋体" w:cs="宋体"/>
          <w:b/>
          <w:bCs/>
          <w:color w:val="6D6D6D"/>
          <w:kern w:val="0"/>
          <w:sz w:val="24"/>
          <w:szCs w:val="24"/>
          <w:lang w:val="en-US" w:eastAsia="zh-CN"/>
        </w:rPr>
        <w:t xml:space="preserve">    所有专业均设置1-10级。声乐、舞蹈、表演在10级基础上增设表演三级、表演二级、表演一级。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b/>
          <w:bCs/>
          <w:color w:val="FF0000"/>
          <w:kern w:val="0"/>
          <w:sz w:val="24"/>
          <w:szCs w:val="24"/>
          <w:lang w:eastAsia="zh-CN"/>
        </w:rPr>
      </w:pPr>
      <w:r>
        <w:rPr>
          <w:rFonts w:hint="eastAsia" w:ascii="宋体" w:hAnsi="宋体" w:cs="宋体"/>
          <w:b/>
          <w:bCs/>
          <w:color w:val="FF0000"/>
          <w:kern w:val="0"/>
          <w:sz w:val="24"/>
          <w:szCs w:val="24"/>
          <w:lang w:eastAsia="zh-CN"/>
        </w:rPr>
        <w:t>二、测评要求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所有测评专业项目自选与基本功测试交替进行，首先考核填报项目，然后测试基本功。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（一）声乐类：学生按填报的曲目进行表演（填报两首，学生自选一首表演，测评师可以指定加试第二首），时间限3分钟。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二</w:t>
      </w:r>
      <w:r>
        <w:rPr>
          <w:rFonts w:hint="eastAsia" w:ascii="宋体" w:hAnsi="宋体" w:cs="宋体"/>
          <w:b/>
          <w:bCs/>
          <w:color w:val="6D6D6D"/>
          <w:kern w:val="0"/>
          <w:sz w:val="24"/>
          <w:szCs w:val="24"/>
          <w:lang w:eastAsia="zh-CN"/>
        </w:rPr>
        <w:t>）器乐类：学生按自已填报的曲目进行表演（填报两首，学生自选一首表演，测评师可以指定加试第二首），时间限3分钟，学生必须演奏完整的乐曲，或自行编排完整的乐曲。器乐类测评现场只提供钢琴、架子鼓、古筝乐器，其它乐器自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三</w:t>
      </w:r>
      <w:r>
        <w:rPr>
          <w:rFonts w:hint="eastAsia" w:ascii="宋体" w:hAnsi="宋体" w:cs="宋体"/>
          <w:b/>
          <w:bCs/>
          <w:color w:val="6D6D6D"/>
          <w:kern w:val="0"/>
          <w:sz w:val="24"/>
          <w:szCs w:val="24"/>
          <w:lang w:eastAsia="zh-CN"/>
        </w:rPr>
        <w:t>）舞蹈类：</w:t>
      </w:r>
      <w:r>
        <w:rPr>
          <w:rFonts w:hint="eastAsia" w:ascii="宋体" w:hAnsi="宋体" w:cs="宋体"/>
          <w:b/>
          <w:bCs/>
          <w:color w:val="6D6D6D"/>
          <w:kern w:val="0"/>
          <w:sz w:val="24"/>
          <w:szCs w:val="24"/>
          <w:lang w:val="en-US" w:eastAsia="zh-CN"/>
        </w:rPr>
        <w:t>1.</w:t>
      </w:r>
      <w:r>
        <w:rPr>
          <w:rFonts w:hint="eastAsia" w:ascii="宋体" w:hAnsi="宋体" w:cs="宋体"/>
          <w:b/>
          <w:bCs/>
          <w:color w:val="6D6D6D"/>
          <w:kern w:val="0"/>
          <w:sz w:val="24"/>
          <w:szCs w:val="24"/>
          <w:lang w:eastAsia="zh-CN"/>
        </w:rPr>
        <w:t>学生单独参评，需准备不同风格的舞蹈两个，现场自选一个表演，另一个由</w:t>
      </w:r>
      <w:bookmarkStart w:id="0" w:name="_Hlk9436370"/>
      <w:r>
        <w:rPr>
          <w:rFonts w:hint="eastAsia" w:ascii="宋体" w:hAnsi="宋体" w:cs="宋体"/>
          <w:b/>
          <w:bCs/>
          <w:color w:val="6D6D6D"/>
          <w:kern w:val="0"/>
          <w:sz w:val="24"/>
          <w:szCs w:val="24"/>
          <w:lang w:eastAsia="zh-CN"/>
        </w:rPr>
        <w:t>测评师根据学生的情况指定</w:t>
      </w:r>
      <w:bookmarkEnd w:id="0"/>
      <w:r>
        <w:rPr>
          <w:rFonts w:hint="eastAsia" w:ascii="宋体" w:hAnsi="宋体" w:cs="宋体"/>
          <w:b/>
          <w:bCs/>
          <w:color w:val="6D6D6D"/>
          <w:kern w:val="0"/>
          <w:sz w:val="24"/>
          <w:szCs w:val="24"/>
          <w:lang w:eastAsia="zh-CN"/>
        </w:rPr>
        <w:t>表演片段或不表演，限时4分钟。</w:t>
      </w:r>
      <w:r>
        <w:rPr>
          <w:rFonts w:hint="eastAsia" w:ascii="宋体" w:hAnsi="宋体" w:cs="宋体"/>
          <w:b/>
          <w:bCs/>
          <w:color w:val="6D6D6D"/>
          <w:kern w:val="0"/>
          <w:sz w:val="24"/>
          <w:szCs w:val="24"/>
          <w:lang w:val="en-US" w:eastAsia="zh-CN"/>
        </w:rPr>
        <w:t>2.</w:t>
      </w:r>
      <w:r>
        <w:rPr>
          <w:rFonts w:hint="eastAsia" w:ascii="宋体" w:hAnsi="宋体" w:cs="宋体"/>
          <w:b/>
          <w:bCs/>
          <w:color w:val="6D6D6D"/>
          <w:kern w:val="0"/>
          <w:sz w:val="24"/>
          <w:szCs w:val="24"/>
          <w:lang w:eastAsia="zh-CN"/>
        </w:rPr>
        <w:t>同级别学生</w:t>
      </w:r>
      <w:r>
        <w:rPr>
          <w:rFonts w:hint="eastAsia" w:ascii="宋体" w:hAnsi="宋体" w:cs="宋体"/>
          <w:b/>
          <w:bCs/>
          <w:color w:val="6D6D6D"/>
          <w:kern w:val="0"/>
          <w:sz w:val="24"/>
          <w:szCs w:val="24"/>
          <w:lang w:val="en-US" w:eastAsia="zh-CN"/>
        </w:rPr>
        <w:t>按</w:t>
      </w:r>
      <w:r>
        <w:rPr>
          <w:rFonts w:hint="eastAsia" w:ascii="宋体" w:hAnsi="宋体" w:cs="宋体"/>
          <w:b/>
          <w:bCs/>
          <w:color w:val="6D6D6D"/>
          <w:kern w:val="0"/>
          <w:sz w:val="24"/>
          <w:szCs w:val="24"/>
          <w:lang w:eastAsia="zh-CN"/>
        </w:rPr>
        <w:t>小组形式（30人以内）</w:t>
      </w:r>
      <w:r>
        <w:rPr>
          <w:rFonts w:hint="eastAsia" w:ascii="宋体" w:hAnsi="宋体" w:cs="宋体"/>
          <w:b/>
          <w:bCs/>
          <w:color w:val="6D6D6D"/>
          <w:kern w:val="0"/>
          <w:sz w:val="24"/>
          <w:szCs w:val="24"/>
          <w:lang w:val="en-US" w:eastAsia="zh-CN"/>
        </w:rPr>
        <w:t>进行测</w:t>
      </w:r>
      <w:r>
        <w:rPr>
          <w:rFonts w:hint="eastAsia" w:ascii="宋体" w:hAnsi="宋体" w:cs="宋体"/>
          <w:b/>
          <w:bCs/>
          <w:color w:val="6D6D6D"/>
          <w:kern w:val="0"/>
          <w:sz w:val="24"/>
          <w:szCs w:val="24"/>
          <w:lang w:eastAsia="zh-CN"/>
        </w:rPr>
        <w:t>评，必须准备胸卡或腰牌，准备不同风格的舞蹈两个，现场自选一个表演，另一个由测评师根据学生的情况指定表演片段或不表演，限时15分钟。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四</w:t>
      </w:r>
      <w:r>
        <w:rPr>
          <w:rFonts w:hint="eastAsia" w:ascii="宋体" w:hAnsi="宋体" w:cs="宋体"/>
          <w:b/>
          <w:bCs/>
          <w:color w:val="6D6D6D"/>
          <w:kern w:val="0"/>
          <w:sz w:val="24"/>
          <w:szCs w:val="24"/>
          <w:lang w:eastAsia="zh-CN"/>
        </w:rPr>
        <w:t>）模特表演类：学生需完成完整的走秀作品，测评师根据学生的情况指定自由发挥的内容，限时3分钟。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五</w:t>
      </w:r>
      <w:r>
        <w:rPr>
          <w:rFonts w:hint="eastAsia" w:ascii="宋体" w:hAnsi="宋体" w:cs="宋体"/>
          <w:b/>
          <w:bCs/>
          <w:color w:val="6D6D6D"/>
          <w:kern w:val="0"/>
          <w:sz w:val="24"/>
          <w:szCs w:val="24"/>
          <w:lang w:eastAsia="zh-CN"/>
        </w:rPr>
        <w:t>）语言类：学生自备不同风格的作品两个，现场自选一个表演，另一个由测评师根据学生的情况指定表演片段或不表演，限时4分钟。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六</w:t>
      </w:r>
      <w:r>
        <w:rPr>
          <w:rFonts w:hint="eastAsia" w:ascii="宋体" w:hAnsi="宋体" w:cs="宋体"/>
          <w:b/>
          <w:bCs/>
          <w:color w:val="6D6D6D"/>
          <w:kern w:val="0"/>
          <w:sz w:val="24"/>
          <w:szCs w:val="24"/>
          <w:lang w:eastAsia="zh-CN"/>
        </w:rPr>
        <w:t>）美术书法类：学生须现场完成作品，测评师现场监测作品是否独立完成，根据不同专业限时1-3小时。基本功测试按测评师要求进行。书画类学生的所有用具自备。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lang w:val="en-US" w:eastAsia="zh-CN"/>
        </w:rPr>
        <w:t>七</w:t>
      </w:r>
      <w:r>
        <w:rPr>
          <w:rFonts w:hint="eastAsia" w:ascii="宋体" w:hAnsi="宋体" w:cs="宋体"/>
          <w:b/>
          <w:bCs/>
          <w:color w:val="6D6D6D"/>
          <w:kern w:val="0"/>
          <w:sz w:val="24"/>
          <w:szCs w:val="24"/>
          <w:lang w:eastAsia="zh-CN"/>
        </w:rPr>
        <w:t>）武术类：学生与测评师按一对一、二对二等形式进行测评，限时3分钟。主要对自由靶和体能测试两项内容进行考核。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val="en-US" w:eastAsia="zh-CN"/>
        </w:rPr>
        <w:t>（八</w:t>
      </w:r>
      <w:r>
        <w:rPr>
          <w:rFonts w:hint="eastAsia" w:ascii="宋体" w:hAnsi="宋体" w:cs="宋体"/>
          <w:b/>
          <w:bCs/>
          <w:color w:val="6D6D6D"/>
          <w:kern w:val="0"/>
          <w:sz w:val="24"/>
          <w:szCs w:val="24"/>
          <w:lang w:eastAsia="zh-CN"/>
        </w:rPr>
        <w:t>）音乐素养：现场笔试，限时60分钟。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b/>
          <w:bCs/>
          <w:color w:val="FF0000"/>
          <w:kern w:val="0"/>
          <w:sz w:val="24"/>
          <w:szCs w:val="24"/>
          <w:lang w:eastAsia="zh-CN"/>
        </w:rPr>
      </w:pPr>
      <w:r>
        <w:rPr>
          <w:rFonts w:hint="eastAsia" w:ascii="宋体" w:hAnsi="宋体" w:cs="宋体"/>
          <w:b/>
          <w:bCs/>
          <w:color w:val="FF0000"/>
          <w:kern w:val="0"/>
          <w:sz w:val="24"/>
          <w:szCs w:val="24"/>
          <w:lang w:eastAsia="zh-CN"/>
        </w:rPr>
        <w:t>三、测评办法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lang w:eastAsia="zh-CN"/>
        </w:rPr>
      </w:pPr>
      <w:r>
        <w:rPr>
          <w:rFonts w:hint="eastAsia" w:ascii="宋体" w:hAnsi="宋体" w:cs="宋体"/>
          <w:b/>
          <w:bCs/>
          <w:color w:val="6D6D6D"/>
          <w:kern w:val="0"/>
          <w:sz w:val="24"/>
          <w:szCs w:val="24"/>
          <w:lang w:eastAsia="zh-CN"/>
        </w:rPr>
        <w:t>严格按照全国测评委员会规定的测评标准进行。测评</w:t>
      </w:r>
      <w:r>
        <w:rPr>
          <w:rFonts w:hint="eastAsia" w:ascii="宋体" w:hAnsi="宋体" w:cs="宋体"/>
          <w:b/>
          <w:bCs/>
          <w:color w:val="6D6D6D"/>
          <w:kern w:val="0"/>
          <w:sz w:val="24"/>
          <w:szCs w:val="24"/>
          <w:lang w:val="en-US" w:eastAsia="zh-CN"/>
        </w:rPr>
        <w:t>等级</w:t>
      </w:r>
      <w:r>
        <w:rPr>
          <w:rFonts w:hint="eastAsia" w:ascii="宋体" w:hAnsi="宋体" w:cs="宋体"/>
          <w:b/>
          <w:bCs/>
          <w:color w:val="6D6D6D"/>
          <w:kern w:val="0"/>
          <w:sz w:val="24"/>
          <w:szCs w:val="24"/>
          <w:lang w:eastAsia="zh-CN"/>
        </w:rPr>
        <w:t>分为一至十级，每级</w:t>
      </w:r>
      <w:r>
        <w:rPr>
          <w:rFonts w:hint="eastAsia" w:ascii="宋体" w:hAnsi="宋体" w:cs="宋体"/>
          <w:b/>
          <w:bCs/>
          <w:color w:val="6D6D6D"/>
          <w:kern w:val="0"/>
          <w:sz w:val="24"/>
          <w:szCs w:val="24"/>
          <w:lang w:val="en-US" w:eastAsia="zh-CN"/>
        </w:rPr>
        <w:t>成绩分</w:t>
      </w:r>
      <w:r>
        <w:rPr>
          <w:rFonts w:hint="eastAsia" w:ascii="宋体" w:hAnsi="宋体" w:cs="宋体"/>
          <w:b/>
          <w:bCs/>
          <w:color w:val="6D6D6D"/>
          <w:kern w:val="0"/>
          <w:sz w:val="24"/>
          <w:szCs w:val="24"/>
          <w:lang w:eastAsia="zh-CN"/>
        </w:rPr>
        <w:t>三个等次（优秀、良好、合格）。</w:t>
      </w:r>
      <w:r>
        <w:rPr>
          <w:rFonts w:hint="eastAsia" w:ascii="宋体" w:hAnsi="宋体" w:cs="宋体"/>
          <w:b/>
          <w:bCs/>
          <w:color w:val="6D6D6D"/>
          <w:kern w:val="0"/>
          <w:sz w:val="24"/>
          <w:szCs w:val="24"/>
          <w:lang w:val="en-US" w:eastAsia="zh-CN"/>
        </w:rPr>
        <w:t>测评</w:t>
      </w:r>
      <w:r>
        <w:rPr>
          <w:rFonts w:hint="eastAsia" w:ascii="宋体" w:hAnsi="宋体" w:cs="宋体"/>
          <w:b/>
          <w:bCs/>
          <w:color w:val="6D6D6D"/>
          <w:kern w:val="0"/>
          <w:sz w:val="24"/>
          <w:szCs w:val="24"/>
          <w:lang w:eastAsia="zh-CN"/>
        </w:rPr>
        <w:t>成绩在90分及以上为优秀，75－89分为良好，60－74分为合格，低于60分为不合格（不发证书）。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lang w:eastAsia="zh-CN"/>
        </w:rPr>
        <w:t>测评结束，全国测评委员会将在官方网站上公布测评结果，学生可以通过官方网站或者官方微信查询。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b/>
          <w:bCs/>
          <w:color w:val="6D6D6D"/>
          <w:kern w:val="0"/>
          <w:sz w:val="24"/>
          <w:szCs w:val="24"/>
        </w:rPr>
      </w:pPr>
      <w:r>
        <w:rPr>
          <w:rFonts w:hint="eastAsia" w:ascii="宋体" w:hAnsi="宋体" w:cs="宋体"/>
          <w:b/>
          <w:bCs/>
          <w:color w:val="6D6D6D"/>
          <w:kern w:val="0"/>
          <w:sz w:val="24"/>
          <w:szCs w:val="24"/>
        </w:rPr>
        <w:t>   </w:t>
      </w:r>
      <w:r>
        <w:rPr>
          <w:rFonts w:hint="eastAsia" w:ascii="宋体" w:hAnsi="宋体" w:cs="宋体"/>
          <w:b/>
          <w:bCs/>
          <w:color w:val="FF0000"/>
          <w:kern w:val="0"/>
          <w:sz w:val="24"/>
          <w:szCs w:val="24"/>
          <w:lang w:eastAsia="zh-CN"/>
        </w:rPr>
        <w:t>四</w:t>
      </w:r>
      <w:r>
        <w:rPr>
          <w:rFonts w:hint="eastAsia" w:ascii="宋体" w:hAnsi="宋体" w:cs="宋体"/>
          <w:b/>
          <w:bCs/>
          <w:color w:val="FF0000"/>
          <w:kern w:val="0"/>
          <w:sz w:val="24"/>
          <w:szCs w:val="24"/>
        </w:rPr>
        <w:t>、测评时间地点:</w:t>
      </w:r>
      <w:r>
        <w:rPr>
          <w:rFonts w:hint="eastAsia" w:ascii="宋体" w:hAnsi="宋体" w:cs="宋体"/>
          <w:b/>
          <w:bCs/>
          <w:color w:val="6D6D6D"/>
          <w:kern w:val="0"/>
          <w:sz w:val="24"/>
          <w:szCs w:val="24"/>
        </w:rPr>
        <w:t>每年寒暑假在全省各地市组织测评，每年5月、11月前办结所有手续。</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   </w:t>
      </w:r>
      <w:r>
        <w:rPr>
          <w:rFonts w:hint="eastAsia" w:ascii="宋体" w:hAnsi="宋体" w:cs="宋体"/>
          <w:b/>
          <w:bCs/>
          <w:color w:val="FF0000"/>
          <w:kern w:val="0"/>
          <w:sz w:val="24"/>
          <w:szCs w:val="24"/>
          <w:lang w:eastAsia="zh-CN"/>
        </w:rPr>
        <w:t>五、</w:t>
      </w:r>
      <w:r>
        <w:rPr>
          <w:rFonts w:hint="eastAsia" w:ascii="宋体" w:hAnsi="宋体" w:cs="宋体"/>
          <w:b/>
          <w:bCs/>
          <w:color w:val="FF0000"/>
          <w:kern w:val="0"/>
          <w:sz w:val="24"/>
          <w:szCs w:val="24"/>
        </w:rPr>
        <w:t>报名须知:</w:t>
      </w:r>
      <w:r>
        <w:rPr>
          <w:rFonts w:hint="eastAsia" w:ascii="宋体" w:hAnsi="宋体" w:cs="宋体"/>
          <w:b/>
          <w:bCs/>
          <w:color w:val="6D6D6D"/>
          <w:kern w:val="0"/>
          <w:sz w:val="24"/>
          <w:szCs w:val="24"/>
        </w:rPr>
        <w:t>（一）考生在指导教师的指导下，依据实际情况科学报考。原则上逐级报考，跨级报考要加收越级费。（二）办理完报名手续后，恕不办理改报或退报手续；不能按规定时间参加测评或未通过的，恕不办理退费手续。（三）</w:t>
      </w:r>
      <w:r>
        <w:rPr>
          <w:rFonts w:hint="eastAsia" w:ascii="宋体" w:hAnsi="宋体" w:cs="宋体"/>
          <w:b/>
          <w:bCs/>
          <w:color w:val="6D6D6D"/>
          <w:kern w:val="0"/>
          <w:sz w:val="24"/>
          <w:szCs w:val="24"/>
          <w:lang w:eastAsia="zh-CN"/>
        </w:rPr>
        <w:t>提供二寸彩照三张、已过级别、身份证复印件。</w:t>
      </w:r>
      <w:r>
        <w:rPr>
          <w:rFonts w:hint="eastAsia" w:ascii="宋体" w:hAnsi="宋体" w:cs="宋体"/>
          <w:b/>
          <w:bCs/>
          <w:color w:val="6D6D6D"/>
          <w:kern w:val="0"/>
          <w:sz w:val="24"/>
          <w:szCs w:val="24"/>
        </w:rPr>
        <w:t>清晰准确填写《报名表》、《备案表》、《考生电子信息表》，按</w:t>
      </w:r>
      <w:r>
        <w:rPr>
          <w:rFonts w:hint="eastAsia" w:ascii="宋体" w:hAnsi="宋体" w:cs="宋体"/>
          <w:b/>
          <w:bCs/>
          <w:color w:val="6D6D6D"/>
          <w:kern w:val="0"/>
          <w:sz w:val="24"/>
          <w:szCs w:val="24"/>
          <w:lang w:eastAsia="zh-CN"/>
        </w:rPr>
        <w:t>吉林省测评中心</w:t>
      </w:r>
      <w:r>
        <w:rPr>
          <w:rFonts w:hint="eastAsia" w:ascii="宋体" w:hAnsi="宋体" w:cs="宋体"/>
          <w:b/>
          <w:bCs/>
          <w:color w:val="6D6D6D"/>
          <w:kern w:val="0"/>
          <w:sz w:val="24"/>
          <w:szCs w:val="24"/>
        </w:rPr>
        <w:t>统一安排入场参加测评。</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   </w:t>
      </w:r>
      <w:r>
        <w:rPr>
          <w:rFonts w:hint="eastAsia" w:ascii="宋体" w:hAnsi="宋体" w:cs="宋体"/>
          <w:b/>
          <w:bCs/>
          <w:color w:val="FF0000"/>
          <w:kern w:val="0"/>
          <w:sz w:val="24"/>
          <w:szCs w:val="24"/>
          <w:lang w:eastAsia="zh-CN"/>
        </w:rPr>
        <w:t>六、</w:t>
      </w:r>
      <w:r>
        <w:rPr>
          <w:rFonts w:hint="eastAsia" w:ascii="宋体" w:hAnsi="宋体" w:cs="宋体"/>
          <w:b/>
          <w:bCs/>
          <w:color w:val="FF0000"/>
          <w:kern w:val="0"/>
          <w:sz w:val="24"/>
          <w:szCs w:val="24"/>
        </w:rPr>
        <w:t>特别说明：</w:t>
      </w:r>
      <w:r>
        <w:rPr>
          <w:rFonts w:hint="eastAsia" w:ascii="宋体" w:hAnsi="宋体" w:cs="宋体"/>
          <w:b/>
          <w:bCs/>
          <w:color w:val="6D6D6D"/>
          <w:kern w:val="0"/>
          <w:sz w:val="24"/>
          <w:szCs w:val="24"/>
        </w:rPr>
        <w:t>（</w:t>
      </w:r>
      <w:r>
        <w:rPr>
          <w:rFonts w:hint="eastAsia" w:ascii="宋体" w:hAnsi="宋体" w:cs="宋体"/>
          <w:b/>
          <w:bCs/>
          <w:color w:val="6D6D6D"/>
          <w:kern w:val="0"/>
          <w:sz w:val="24"/>
          <w:szCs w:val="24"/>
          <w:lang w:eastAsia="zh-CN"/>
        </w:rPr>
        <w:t>一</w:t>
      </w:r>
      <w:r>
        <w:rPr>
          <w:rFonts w:hint="eastAsia" w:ascii="宋体" w:hAnsi="宋体" w:cs="宋体"/>
          <w:b/>
          <w:bCs/>
          <w:color w:val="6D6D6D"/>
          <w:kern w:val="0"/>
          <w:sz w:val="24"/>
          <w:szCs w:val="24"/>
        </w:rPr>
        <w:t>）附合条件的培训教学机构可申办统一规制的由全国优秀</w:t>
      </w:r>
      <w:r>
        <w:rPr>
          <w:rFonts w:hint="eastAsia" w:ascii="宋体" w:hAnsi="宋体" w:cs="宋体"/>
          <w:b/>
          <w:bCs/>
          <w:color w:val="6D6D6D"/>
          <w:kern w:val="0"/>
          <w:sz w:val="24"/>
          <w:szCs w:val="24"/>
          <w:lang w:eastAsia="zh-CN"/>
        </w:rPr>
        <w:t>艺术</w:t>
      </w:r>
      <w:r>
        <w:rPr>
          <w:rFonts w:hint="eastAsia" w:ascii="宋体" w:hAnsi="宋体" w:cs="宋体"/>
          <w:b/>
          <w:bCs/>
          <w:color w:val="6D6D6D"/>
          <w:kern w:val="0"/>
          <w:sz w:val="24"/>
          <w:szCs w:val="24"/>
        </w:rPr>
        <w:t>生</w:t>
      </w:r>
      <w:r>
        <w:rPr>
          <w:rFonts w:hint="eastAsia" w:ascii="宋体" w:hAnsi="宋体" w:cs="宋体"/>
          <w:b/>
          <w:bCs/>
          <w:color w:val="6D6D6D"/>
          <w:kern w:val="0"/>
          <w:sz w:val="24"/>
          <w:szCs w:val="24"/>
          <w:lang w:eastAsia="zh-CN"/>
        </w:rPr>
        <w:t>素养</w:t>
      </w:r>
      <w:r>
        <w:rPr>
          <w:rFonts w:hint="eastAsia" w:ascii="宋体" w:hAnsi="宋体" w:cs="宋体"/>
          <w:b/>
          <w:bCs/>
          <w:color w:val="6D6D6D"/>
          <w:kern w:val="0"/>
          <w:sz w:val="24"/>
          <w:szCs w:val="24"/>
        </w:rPr>
        <w:t>测评委员会署名的《全国优秀</w:t>
      </w:r>
      <w:r>
        <w:rPr>
          <w:rFonts w:hint="eastAsia" w:ascii="宋体" w:hAnsi="宋体" w:cs="宋体"/>
          <w:b/>
          <w:bCs/>
          <w:color w:val="6D6D6D"/>
          <w:kern w:val="0"/>
          <w:sz w:val="24"/>
          <w:szCs w:val="24"/>
          <w:lang w:eastAsia="zh-CN"/>
        </w:rPr>
        <w:t>艺术</w:t>
      </w:r>
      <w:r>
        <w:rPr>
          <w:rFonts w:hint="eastAsia" w:ascii="宋体" w:hAnsi="宋体" w:cs="宋体"/>
          <w:b/>
          <w:bCs/>
          <w:color w:val="6D6D6D"/>
          <w:kern w:val="0"/>
          <w:sz w:val="24"/>
          <w:szCs w:val="24"/>
        </w:rPr>
        <w:t>生</w:t>
      </w:r>
      <w:r>
        <w:rPr>
          <w:rFonts w:hint="eastAsia" w:ascii="宋体" w:hAnsi="宋体" w:cs="宋体"/>
          <w:b/>
          <w:bCs/>
          <w:color w:val="6D6D6D"/>
          <w:kern w:val="0"/>
          <w:sz w:val="24"/>
          <w:szCs w:val="24"/>
          <w:lang w:eastAsia="zh-CN"/>
        </w:rPr>
        <w:t>素养测评</w:t>
      </w:r>
      <w:r>
        <w:rPr>
          <w:rFonts w:hint="eastAsia" w:ascii="宋体" w:hAnsi="宋体" w:cs="宋体"/>
          <w:b/>
          <w:bCs/>
          <w:color w:val="6D6D6D"/>
          <w:kern w:val="0"/>
          <w:sz w:val="24"/>
          <w:szCs w:val="24"/>
        </w:rPr>
        <w:t>培训基地》牌匾。（</w:t>
      </w:r>
      <w:r>
        <w:rPr>
          <w:rFonts w:hint="eastAsia" w:ascii="宋体" w:hAnsi="宋体" w:cs="宋体"/>
          <w:b/>
          <w:bCs/>
          <w:color w:val="6D6D6D"/>
          <w:kern w:val="0"/>
          <w:sz w:val="24"/>
          <w:szCs w:val="24"/>
          <w:lang w:eastAsia="zh-CN"/>
        </w:rPr>
        <w:t>二</w:t>
      </w:r>
      <w:r>
        <w:rPr>
          <w:rFonts w:hint="eastAsia" w:ascii="宋体" w:hAnsi="宋体" w:cs="宋体"/>
          <w:b/>
          <w:bCs/>
          <w:color w:val="6D6D6D"/>
          <w:kern w:val="0"/>
          <w:sz w:val="24"/>
          <w:szCs w:val="24"/>
        </w:rPr>
        <w:t>）通过测评者，100天左右颁发证书并在国家工信部备案注册（ICP备案编号：吉ICP备11001189号-2）的网站《文化艺术考级测评认证网》（jlxys</w:t>
      </w:r>
      <w:r>
        <w:rPr>
          <w:rFonts w:hint="eastAsia" w:ascii="宋体" w:hAnsi="宋体" w:cs="宋体"/>
          <w:b/>
          <w:bCs/>
          <w:color w:val="6D6D6D"/>
          <w:kern w:val="0"/>
          <w:sz w:val="24"/>
          <w:szCs w:val="24"/>
          <w:lang w:val="en-US" w:eastAsia="zh-CN"/>
        </w:rPr>
        <w:t>j</w:t>
      </w:r>
      <w:r>
        <w:rPr>
          <w:rFonts w:hint="eastAsia" w:ascii="宋体" w:hAnsi="宋体" w:cs="宋体"/>
          <w:b/>
          <w:bCs/>
          <w:color w:val="6D6D6D"/>
          <w:kern w:val="0"/>
          <w:sz w:val="24"/>
          <w:szCs w:val="24"/>
        </w:rPr>
        <w:t>.com）</w:t>
      </w:r>
      <w:r>
        <w:rPr>
          <w:rFonts w:hint="eastAsia" w:ascii="宋体" w:hAnsi="宋体" w:cs="宋体"/>
          <w:b/>
          <w:bCs/>
          <w:color w:val="6D6D6D"/>
          <w:kern w:val="0"/>
          <w:sz w:val="24"/>
          <w:szCs w:val="24"/>
          <w:lang w:eastAsia="zh-CN"/>
        </w:rPr>
        <w:t>、</w:t>
      </w:r>
      <w:r>
        <w:rPr>
          <w:rFonts w:hint="eastAsia" w:ascii="宋体" w:hAnsi="宋体" w:cs="宋体"/>
          <w:b/>
          <w:bCs/>
          <w:color w:val="6D6D6D"/>
          <w:kern w:val="0"/>
          <w:sz w:val="24"/>
          <w:szCs w:val="24"/>
        </w:rPr>
        <w:t>微信公众号《品牌赛事考级》</w:t>
      </w:r>
      <w:r>
        <w:rPr>
          <w:rFonts w:hint="eastAsia" w:ascii="宋体" w:hAnsi="宋体" w:cs="宋体"/>
          <w:b/>
          <w:bCs/>
          <w:color w:val="6D6D6D"/>
          <w:kern w:val="0"/>
          <w:sz w:val="24"/>
          <w:szCs w:val="24"/>
          <w:lang w:eastAsia="zh-CN"/>
        </w:rPr>
        <w:t>、微信小程序《艺术考级测评大赛》</w:t>
      </w:r>
      <w:r>
        <w:rPr>
          <w:rFonts w:hint="eastAsia" w:ascii="宋体" w:hAnsi="宋体" w:cs="宋体"/>
          <w:b/>
          <w:bCs/>
          <w:color w:val="6D6D6D"/>
          <w:kern w:val="0"/>
          <w:sz w:val="24"/>
          <w:szCs w:val="24"/>
        </w:rPr>
        <w:t>上</w:t>
      </w:r>
      <w:r>
        <w:rPr>
          <w:rFonts w:hint="eastAsia" w:ascii="宋体" w:hAnsi="宋体" w:cs="宋体"/>
          <w:b/>
          <w:bCs/>
          <w:color w:val="6D6D6D"/>
          <w:kern w:val="0"/>
          <w:sz w:val="24"/>
          <w:szCs w:val="24"/>
          <w:lang w:eastAsia="zh-CN"/>
        </w:rPr>
        <w:t>同时</w:t>
      </w:r>
      <w:r>
        <w:rPr>
          <w:rFonts w:hint="eastAsia" w:ascii="宋体" w:hAnsi="宋体" w:cs="宋体"/>
          <w:b/>
          <w:bCs/>
          <w:color w:val="6D6D6D"/>
          <w:kern w:val="0"/>
          <w:sz w:val="24"/>
          <w:szCs w:val="24"/>
        </w:rPr>
        <w:t>公示两年。</w:t>
      </w:r>
      <w:r>
        <w:rPr>
          <w:rFonts w:hint="eastAsia" w:ascii="宋体" w:hAnsi="宋体" w:cs="宋体"/>
          <w:b/>
          <w:bCs/>
          <w:color w:val="6D6D6D"/>
          <w:kern w:val="0"/>
          <w:sz w:val="24"/>
          <w:szCs w:val="24"/>
          <w:lang w:eastAsia="zh-CN"/>
        </w:rPr>
        <w:t>在上述平台</w:t>
      </w:r>
      <w:r>
        <w:rPr>
          <w:rFonts w:hint="eastAsia" w:ascii="宋体" w:hAnsi="宋体" w:cs="宋体"/>
          <w:b/>
          <w:bCs/>
          <w:color w:val="6D6D6D"/>
          <w:kern w:val="0"/>
          <w:sz w:val="24"/>
          <w:szCs w:val="24"/>
        </w:rPr>
        <w:t>的“站内搜索”中输入考生的准确姓名，点击搜索即可随时随地查看查验打印收藏发送测评证书，方便、快捷、规范。</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   </w:t>
      </w:r>
      <w:r>
        <w:rPr>
          <w:rFonts w:hint="eastAsia" w:ascii="宋体" w:hAnsi="宋体" w:cs="宋体"/>
          <w:b/>
          <w:bCs/>
          <w:color w:val="FF0000"/>
          <w:kern w:val="0"/>
          <w:sz w:val="24"/>
          <w:szCs w:val="24"/>
          <w:lang w:eastAsia="zh-CN"/>
        </w:rPr>
        <w:t>七、</w:t>
      </w:r>
      <w:r>
        <w:rPr>
          <w:rFonts w:hint="eastAsia" w:ascii="宋体" w:hAnsi="宋体" w:cs="宋体"/>
          <w:b/>
          <w:bCs/>
          <w:color w:val="FF0000"/>
          <w:kern w:val="0"/>
          <w:sz w:val="24"/>
          <w:szCs w:val="24"/>
        </w:rPr>
        <w:t>全国优秀</w:t>
      </w:r>
      <w:r>
        <w:rPr>
          <w:rFonts w:hint="eastAsia" w:ascii="宋体" w:hAnsi="宋体" w:cs="宋体"/>
          <w:b/>
          <w:bCs/>
          <w:color w:val="FF0000"/>
          <w:kern w:val="0"/>
          <w:sz w:val="24"/>
          <w:szCs w:val="24"/>
          <w:lang w:eastAsia="zh-CN"/>
        </w:rPr>
        <w:t>艺术</w:t>
      </w:r>
      <w:r>
        <w:rPr>
          <w:rFonts w:hint="eastAsia" w:ascii="宋体" w:hAnsi="宋体" w:cs="宋体"/>
          <w:b/>
          <w:bCs/>
          <w:color w:val="FF0000"/>
          <w:kern w:val="0"/>
          <w:sz w:val="24"/>
          <w:szCs w:val="24"/>
        </w:rPr>
        <w:t>生</w:t>
      </w:r>
      <w:r>
        <w:rPr>
          <w:rFonts w:hint="eastAsia" w:ascii="宋体" w:hAnsi="宋体" w:cs="宋体"/>
          <w:b/>
          <w:bCs/>
          <w:color w:val="FF0000"/>
          <w:kern w:val="0"/>
          <w:sz w:val="24"/>
          <w:szCs w:val="24"/>
          <w:lang w:eastAsia="zh-CN"/>
        </w:rPr>
        <w:t>素养</w:t>
      </w:r>
      <w:r>
        <w:rPr>
          <w:rFonts w:hint="eastAsia" w:ascii="宋体" w:hAnsi="宋体" w:cs="宋体"/>
          <w:b/>
          <w:bCs/>
          <w:color w:val="FF0000"/>
          <w:kern w:val="0"/>
          <w:sz w:val="24"/>
          <w:szCs w:val="24"/>
        </w:rPr>
        <w:t>测评吉林省</w:t>
      </w:r>
      <w:r>
        <w:rPr>
          <w:rFonts w:hint="eastAsia" w:ascii="宋体" w:hAnsi="宋体" w:cs="宋体"/>
          <w:b/>
          <w:bCs/>
          <w:color w:val="FF0000"/>
          <w:kern w:val="0"/>
          <w:sz w:val="24"/>
          <w:szCs w:val="24"/>
          <w:lang w:eastAsia="zh-CN"/>
        </w:rPr>
        <w:t>测评中心</w:t>
      </w:r>
      <w:r>
        <w:rPr>
          <w:rFonts w:hint="eastAsia" w:ascii="宋体" w:hAnsi="宋体" w:cs="宋体"/>
          <w:b/>
          <w:bCs/>
          <w:color w:val="FF0000"/>
          <w:kern w:val="0"/>
          <w:sz w:val="24"/>
          <w:szCs w:val="24"/>
        </w:rPr>
        <w:t xml:space="preserve">     </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地址：长春市经开区浦东路与深圳街交汇虹湾国际A座902</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电话：18844064816    18844064818    13578778110</w:t>
      </w:r>
      <w:r>
        <w:rPr>
          <w:rFonts w:hint="eastAsia" w:ascii="宋体" w:hAnsi="宋体" w:cs="宋体"/>
          <w:color w:val="6D6D6D"/>
          <w:kern w:val="0"/>
          <w:sz w:val="24"/>
          <w:szCs w:val="24"/>
          <w:shd w:val="clear" w:color="auto" w:fill="FFFFFF"/>
        </w:rPr>
        <w:br w:type="textWrapping"/>
      </w:r>
      <w:r>
        <w:rPr>
          <w:rFonts w:hint="eastAsia" w:ascii="宋体" w:hAnsi="宋体" w:cs="宋体"/>
          <w:b/>
          <w:bCs/>
          <w:color w:val="6D6D6D"/>
          <w:kern w:val="0"/>
          <w:sz w:val="24"/>
          <w:szCs w:val="24"/>
        </w:rPr>
        <w:t>微信公众号：《品牌赛事考级》（ppsskj）</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bCs/>
          <w:color w:val="6D6D6D"/>
          <w:kern w:val="0"/>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151765</wp:posOffset>
                </wp:positionV>
                <wp:extent cx="394970" cy="1221740"/>
                <wp:effectExtent l="0" t="0" r="5080" b="16510"/>
                <wp:wrapNone/>
                <wp:docPr id="1" name="文本框 1"/>
                <wp:cNvGraphicFramePr/>
                <a:graphic xmlns:a="http://schemas.openxmlformats.org/drawingml/2006/main">
                  <a:graphicData uri="http://schemas.microsoft.com/office/word/2010/wordprocessingShape">
                    <wps:wsp>
                      <wps:cNvSpPr txBox="1"/>
                      <wps:spPr>
                        <a:xfrm>
                          <a:off x="0" y="0"/>
                          <a:ext cx="394970" cy="1221740"/>
                        </a:xfrm>
                        <a:prstGeom prst="rect">
                          <a:avLst/>
                        </a:prstGeom>
                        <a:solidFill>
                          <a:srgbClr val="FFFFFF"/>
                        </a:solidFill>
                        <a:ln>
                          <a:noFill/>
                        </a:ln>
                      </wps:spPr>
                      <wps:txbx>
                        <w:txbxContent>
                          <w:p>
                            <w:pPr>
                              <w:rPr>
                                <w:sz w:val="22"/>
                                <w:szCs w:val="24"/>
                              </w:rPr>
                            </w:pPr>
                            <w:r>
                              <w:rPr>
                                <w:rFonts w:hint="eastAsia" w:ascii="宋体" w:hAnsi="宋体" w:cs="宋体"/>
                                <w:b/>
                                <w:bCs/>
                                <w:color w:val="6D6D6D"/>
                                <w:kern w:val="0"/>
                                <w:sz w:val="18"/>
                                <w:szCs w:val="18"/>
                                <w:lang w:eastAsia="zh-CN"/>
                              </w:rPr>
                              <w:t>艺术考级测评大赛</w:t>
                            </w:r>
                          </w:p>
                          <w:p/>
                        </w:txbxContent>
                      </wps:txbx>
                      <wps:bodyPr vert="eaVert" upright="1"/>
                    </wps:wsp>
                  </a:graphicData>
                </a:graphic>
              </wp:anchor>
            </w:drawing>
          </mc:Choice>
          <mc:Fallback>
            <w:pict>
              <v:shape id="_x0000_s1026" o:spid="_x0000_s1026" o:spt="202" type="#_x0000_t202" style="position:absolute;left:0pt;margin-left:264pt;margin-top:11.95pt;height:96.2pt;width:31.1pt;z-index:251661312;mso-width-relative:page;mso-height-relative:page;" fillcolor="#FFFFFF" filled="t" stroked="f" coordsize="21600,21600" o:gfxdata="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GCW&#10;I9oAAAAKAQAADwAAAAAAAAABACAAAAAiAAAAZHJzL2Rvd25yZXYueG1sUEsBAhQAFAAAAAgAh07i&#10;QDu4wAquAQAANwMAAA4AAAAAAAAAAQAgAAAAKQEAAGRycy9lMm9Eb2MueG1sUEsFBgAAAAAGAAYA&#10;WQEAAEkFAAAAAA==&#10;">
                <v:path/>
                <v:fill on="t" focussize="0,0"/>
                <v:stroke on="f"/>
                <v:imagedata o:title=""/>
                <o:lock v:ext="edit" aspectratio="f"/>
                <v:textbox style="layout-flow:vertical-ideographic;">
                  <w:txbxContent>
                    <w:p>
                      <w:pPr>
                        <w:rPr>
                          <w:sz w:val="22"/>
                          <w:szCs w:val="24"/>
                        </w:rPr>
                      </w:pPr>
                      <w:r>
                        <w:rPr>
                          <w:rFonts w:hint="eastAsia" w:ascii="宋体" w:hAnsi="宋体" w:cs="宋体"/>
                          <w:b/>
                          <w:bCs/>
                          <w:color w:val="6D6D6D"/>
                          <w:kern w:val="0"/>
                          <w:sz w:val="18"/>
                          <w:szCs w:val="18"/>
                          <w:lang w:eastAsia="zh-CN"/>
                        </w:rPr>
                        <w:t>艺术考级测评大赛</w:t>
                      </w:r>
                    </w:p>
                    <w:p/>
                  </w:txbxContent>
                </v:textbox>
              </v:shape>
            </w:pict>
          </mc:Fallback>
        </mc:AlternateContent>
      </w:r>
      <w:r>
        <w:rPr>
          <w:rFonts w:hint="eastAsia" w:ascii="宋体" w:hAnsi="宋体" w:cs="宋体"/>
          <w:b/>
          <w:bCs/>
          <w:color w:val="6D6D6D"/>
          <w:kern w:val="0"/>
          <w:sz w:val="24"/>
          <w:szCs w:val="24"/>
          <w:lang w:eastAsia="zh-CN"/>
        </w:rPr>
        <w:t>微信小程序：《艺术考级测评大赛》</w:t>
      </w:r>
    </w:p>
    <w:p>
      <w:pPr>
        <w:rPr>
          <w:rFonts w:hint="eastAsia" w:ascii="宋体" w:hAnsi="宋体" w:cs="宋体"/>
          <w:b/>
          <w:bCs/>
          <w:color w:val="6D6D6D"/>
          <w:kern w:val="0"/>
          <w:sz w:val="24"/>
          <w:szCs w:val="24"/>
        </w:rPr>
      </w:pPr>
      <w:r>
        <w:rPr>
          <w:rFonts w:hint="eastAsia" w:eastAsia="宋体"/>
          <w:sz w:val="24"/>
          <w:szCs w:val="24"/>
          <w:lang w:eastAsia="zh-CN"/>
        </w:rPr>
        <w:drawing>
          <wp:anchor distT="0" distB="0" distL="114300" distR="114300" simplePos="0" relativeHeight="251660288" behindDoc="0" locked="0" layoutInCell="1" allowOverlap="1">
            <wp:simplePos x="0" y="0"/>
            <wp:positionH relativeFrom="column">
              <wp:posOffset>2362200</wp:posOffset>
            </wp:positionH>
            <wp:positionV relativeFrom="paragraph">
              <wp:posOffset>32385</wp:posOffset>
            </wp:positionV>
            <wp:extent cx="957580" cy="957580"/>
            <wp:effectExtent l="0" t="0" r="13970" b="13970"/>
            <wp:wrapNone/>
            <wp:docPr id="2" name="图片 3" descr="艺术考级测评大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艺术考级测评大赛"/>
                    <pic:cNvPicPr>
                      <a:picLocks noChangeAspect="1"/>
                    </pic:cNvPicPr>
                  </pic:nvPicPr>
                  <pic:blipFill>
                    <a:blip r:embed="rId4"/>
                    <a:stretch>
                      <a:fillRect/>
                    </a:stretch>
                  </pic:blipFill>
                  <pic:spPr>
                    <a:xfrm>
                      <a:off x="0" y="0"/>
                      <a:ext cx="957580" cy="957580"/>
                    </a:xfrm>
                    <a:prstGeom prst="rect">
                      <a:avLst/>
                    </a:prstGeom>
                    <a:noFill/>
                    <a:ln>
                      <a:noFill/>
                    </a:ln>
                  </pic:spPr>
                </pic:pic>
              </a:graphicData>
            </a:graphic>
          </wp:anchor>
        </w:drawing>
      </w:r>
      <w:r>
        <w:rPr>
          <w:rFonts w:hint="eastAsia" w:eastAsia="宋体"/>
          <w:sz w:val="24"/>
          <w:szCs w:val="24"/>
          <w:lang w:eastAsia="zh-CN"/>
        </w:rPr>
        <w:drawing>
          <wp:anchor distT="0" distB="0" distL="114300" distR="114300" simplePos="0" relativeHeight="251658240" behindDoc="1" locked="0" layoutInCell="1" allowOverlap="1">
            <wp:simplePos x="0" y="0"/>
            <wp:positionH relativeFrom="column">
              <wp:posOffset>339725</wp:posOffset>
            </wp:positionH>
            <wp:positionV relativeFrom="paragraph">
              <wp:posOffset>44450</wp:posOffset>
            </wp:positionV>
            <wp:extent cx="958215" cy="958215"/>
            <wp:effectExtent l="0" t="0" r="13335" b="13335"/>
            <wp:wrapNone/>
            <wp:docPr id="3" name="图片 4" descr="8555-1PP609564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8555-1PP6095643A1"/>
                    <pic:cNvPicPr>
                      <a:picLocks noChangeAspect="1"/>
                    </pic:cNvPicPr>
                  </pic:nvPicPr>
                  <pic:blipFill>
                    <a:blip r:embed="rId5"/>
                    <a:stretch>
                      <a:fillRect/>
                    </a:stretch>
                  </pic:blipFill>
                  <pic:spPr>
                    <a:xfrm>
                      <a:off x="0" y="0"/>
                      <a:ext cx="958215" cy="958215"/>
                    </a:xfrm>
                    <a:prstGeom prst="rect">
                      <a:avLst/>
                    </a:prstGeom>
                    <a:noFill/>
                    <a:ln>
                      <a:noFill/>
                    </a:ln>
                  </pic:spPr>
                </pic:pic>
              </a:graphicData>
            </a:graphic>
          </wp:anchor>
        </w:drawing>
      </w:r>
      <w:r>
        <w:rPr>
          <w:sz w:val="24"/>
        </w:rPr>
        <mc:AlternateContent>
          <mc:Choice Requires="wps">
            <w:drawing>
              <wp:anchor distT="0" distB="0" distL="114300" distR="114300" simplePos="0" relativeHeight="251659264" behindDoc="1" locked="0" layoutInCell="1" allowOverlap="1">
                <wp:simplePos x="0" y="0"/>
                <wp:positionH relativeFrom="column">
                  <wp:posOffset>1293495</wp:posOffset>
                </wp:positionH>
                <wp:positionV relativeFrom="paragraph">
                  <wp:posOffset>76835</wp:posOffset>
                </wp:positionV>
                <wp:extent cx="473075" cy="1018540"/>
                <wp:effectExtent l="0" t="0" r="3175" b="10160"/>
                <wp:wrapNone/>
                <wp:docPr id="4" name="文本框 4"/>
                <wp:cNvGraphicFramePr/>
                <a:graphic xmlns:a="http://schemas.openxmlformats.org/drawingml/2006/main">
                  <a:graphicData uri="http://schemas.microsoft.com/office/word/2010/wordprocessingShape">
                    <wps:wsp>
                      <wps:cNvSpPr txBox="1"/>
                      <wps:spPr>
                        <a:xfrm>
                          <a:off x="0" y="0"/>
                          <a:ext cx="473075" cy="1018540"/>
                        </a:xfrm>
                        <a:prstGeom prst="rect">
                          <a:avLst/>
                        </a:prstGeom>
                        <a:solidFill>
                          <a:srgbClr val="FFFFFF"/>
                        </a:solidFill>
                        <a:ln>
                          <a:noFill/>
                        </a:ln>
                      </wps:spPr>
                      <wps:txbx>
                        <w:txbxContent>
                          <w:p>
                            <w:r>
                              <w:rPr>
                                <w:rFonts w:hint="eastAsia" w:ascii="宋体" w:hAnsi="宋体" w:cs="宋体"/>
                                <w:b/>
                                <w:bCs/>
                                <w:color w:val="6D6D6D"/>
                                <w:kern w:val="0"/>
                                <w:sz w:val="21"/>
                                <w:szCs w:val="21"/>
                              </w:rPr>
                              <w:t>品牌赛事考</w:t>
                            </w:r>
                            <w:r>
                              <w:rPr>
                                <w:rFonts w:hint="eastAsia" w:ascii="宋体" w:hAnsi="宋体" w:cs="宋体"/>
                                <w:b/>
                                <w:bCs/>
                                <w:color w:val="6D6D6D"/>
                                <w:kern w:val="0"/>
                                <w:sz w:val="24"/>
                                <w:szCs w:val="24"/>
                              </w:rPr>
                              <w:t>级</w:t>
                            </w:r>
                          </w:p>
                          <w:p>
                            <w:r>
                              <w:rPr>
                                <w:rFonts w:hint="eastAsia" w:ascii="宋体" w:hAnsi="宋体" w:cs="宋体"/>
                                <w:b/>
                                <w:bCs/>
                                <w:color w:val="6D6D6D"/>
                                <w:kern w:val="0"/>
                                <w:sz w:val="21"/>
                                <w:szCs w:val="21"/>
                              </w:rPr>
                              <w:t>品牌赛事考</w:t>
                            </w:r>
                            <w:r>
                              <w:rPr>
                                <w:rFonts w:hint="eastAsia" w:ascii="宋体" w:hAnsi="宋体" w:cs="宋体"/>
                                <w:b/>
                                <w:bCs/>
                                <w:color w:val="6D6D6D"/>
                                <w:kern w:val="0"/>
                                <w:sz w:val="24"/>
                                <w:szCs w:val="24"/>
                              </w:rPr>
                              <w:t>级</w:t>
                            </w:r>
                          </w:p>
                          <w:p>
                            <w:r>
                              <w:rPr>
                                <w:rFonts w:hint="eastAsia" w:ascii="宋体" w:hAnsi="宋体" w:cs="宋体"/>
                                <w:b/>
                                <w:bCs/>
                                <w:color w:val="6D6D6D"/>
                                <w:kern w:val="0"/>
                                <w:sz w:val="21"/>
                                <w:szCs w:val="21"/>
                              </w:rPr>
                              <w:t>考</w:t>
                            </w:r>
                            <w:r>
                              <w:rPr>
                                <w:rFonts w:hint="eastAsia" w:ascii="宋体" w:hAnsi="宋体" w:cs="宋体"/>
                                <w:b/>
                                <w:bCs/>
                                <w:color w:val="6D6D6D"/>
                                <w:kern w:val="0"/>
                                <w:sz w:val="24"/>
                                <w:szCs w:val="24"/>
                              </w:rPr>
                              <w:t>级</w:t>
                            </w:r>
                          </w:p>
                          <w:p/>
                        </w:txbxContent>
                      </wps:txbx>
                      <wps:bodyPr vert="eaVert" upright="1"/>
                    </wps:wsp>
                  </a:graphicData>
                </a:graphic>
              </wp:anchor>
            </w:drawing>
          </mc:Choice>
          <mc:Fallback>
            <w:pict>
              <v:shape id="_x0000_s1026" o:spid="_x0000_s1026" o:spt="202" type="#_x0000_t202" style="position:absolute;left:0pt;margin-left:101.85pt;margin-top:6.05pt;height:80.2pt;width:37.25pt;z-index:-251657216;mso-width-relative:page;mso-height-relative:page;" fillcolor="#FFFFFF" filled="t" stroked="f" coordsize="21600,21600" o:gfxdata="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FYb&#10;/NkAAAAKAQAADwAAAAAAAAABACAAAAAiAAAAZHJzL2Rvd25yZXYueG1sUEsBAhQAFAAAAAgAh07i&#10;QOwUuCGvAQAANwMAAA4AAAAAAAAAAQAgAAAAKAEAAGRycy9lMm9Eb2MueG1sUEsFBgAAAAAGAAYA&#10;WQEAAEkFAAAAAA==&#10;">
                <v:path/>
                <v:fill on="t" focussize="0,0"/>
                <v:stroke on="f"/>
                <v:imagedata o:title=""/>
                <o:lock v:ext="edit" aspectratio="f"/>
                <v:textbox style="layout-flow:vertical-ideographic;">
                  <w:txbxContent>
                    <w:p>
                      <w:r>
                        <w:rPr>
                          <w:rFonts w:hint="eastAsia" w:ascii="宋体" w:hAnsi="宋体" w:cs="宋体"/>
                          <w:b/>
                          <w:bCs/>
                          <w:color w:val="6D6D6D"/>
                          <w:kern w:val="0"/>
                          <w:sz w:val="21"/>
                          <w:szCs w:val="21"/>
                        </w:rPr>
                        <w:t>品牌赛事考</w:t>
                      </w:r>
                      <w:r>
                        <w:rPr>
                          <w:rFonts w:hint="eastAsia" w:ascii="宋体" w:hAnsi="宋体" w:cs="宋体"/>
                          <w:b/>
                          <w:bCs/>
                          <w:color w:val="6D6D6D"/>
                          <w:kern w:val="0"/>
                          <w:sz w:val="24"/>
                          <w:szCs w:val="24"/>
                        </w:rPr>
                        <w:t>级</w:t>
                      </w:r>
                    </w:p>
                    <w:p>
                      <w:r>
                        <w:rPr>
                          <w:rFonts w:hint="eastAsia" w:ascii="宋体" w:hAnsi="宋体" w:cs="宋体"/>
                          <w:b/>
                          <w:bCs/>
                          <w:color w:val="6D6D6D"/>
                          <w:kern w:val="0"/>
                          <w:sz w:val="21"/>
                          <w:szCs w:val="21"/>
                        </w:rPr>
                        <w:t>品牌赛事考</w:t>
                      </w:r>
                      <w:r>
                        <w:rPr>
                          <w:rFonts w:hint="eastAsia" w:ascii="宋体" w:hAnsi="宋体" w:cs="宋体"/>
                          <w:b/>
                          <w:bCs/>
                          <w:color w:val="6D6D6D"/>
                          <w:kern w:val="0"/>
                          <w:sz w:val="24"/>
                          <w:szCs w:val="24"/>
                        </w:rPr>
                        <w:t>级</w:t>
                      </w:r>
                    </w:p>
                    <w:p>
                      <w:r>
                        <w:rPr>
                          <w:rFonts w:hint="eastAsia" w:ascii="宋体" w:hAnsi="宋体" w:cs="宋体"/>
                          <w:b/>
                          <w:bCs/>
                          <w:color w:val="6D6D6D"/>
                          <w:kern w:val="0"/>
                          <w:sz w:val="21"/>
                          <w:szCs w:val="21"/>
                        </w:rPr>
                        <w:t>考</w:t>
                      </w:r>
                      <w:r>
                        <w:rPr>
                          <w:rFonts w:hint="eastAsia" w:ascii="宋体" w:hAnsi="宋体" w:cs="宋体"/>
                          <w:b/>
                          <w:bCs/>
                          <w:color w:val="6D6D6D"/>
                          <w:kern w:val="0"/>
                          <w:sz w:val="24"/>
                          <w:szCs w:val="24"/>
                        </w:rPr>
                        <w:t>级</w:t>
                      </w:r>
                    </w:p>
                    <w:p/>
                  </w:txbxContent>
                </v:textbox>
              </v:shape>
            </w:pict>
          </mc:Fallback>
        </mc:AlternateContent>
      </w:r>
      <w:r>
        <w:rPr>
          <w:rFonts w:hint="eastAsia" w:ascii="宋体" w:hAnsi="宋体" w:cs="宋体"/>
          <w:b/>
          <w:bCs/>
          <w:color w:val="6D6D6D"/>
          <w:kern w:val="0"/>
          <w:sz w:val="24"/>
          <w:szCs w:val="24"/>
        </w:rPr>
        <w:t xml:space="preserve"> </w:t>
      </w:r>
    </w:p>
    <w:p>
      <w:pPr>
        <w:rPr>
          <w:rFonts w:hint="eastAsia" w:ascii="宋体" w:hAnsi="宋体" w:cs="宋体"/>
          <w:b/>
          <w:bCs/>
          <w:color w:val="6D6D6D"/>
          <w:kern w:val="0"/>
          <w:sz w:val="24"/>
          <w:szCs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51977"/>
    <w:rsid w:val="5C15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2019-06-19T01:46:00Z</dcterms:created>
  <dc:creator>Наташа Почемучка</dc:creator>
  <cp:lastModifiedBy>Наташа Почемучка</cp:lastModifiedBy>
  <dcterms:modified xsi:type="dcterms:W3CDTF">2019-06-19T01:46:13Z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